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19A33E">
      <w:pPr>
        <w:spacing w:line="520" w:lineRule="exact"/>
        <w:ind w:left="0" w:leftChars="0" w:firstLine="0" w:firstLineChars="0"/>
        <w:jc w:val="left"/>
        <w:rPr>
          <w:rFonts w:hint="eastAsia" w:ascii="黑体" w:hAnsi="黑体" w:eastAsia="黑体" w:cs="黑体"/>
          <w:kern w:val="32"/>
          <w:sz w:val="28"/>
          <w:szCs w:val="28"/>
          <w:lang w:val="en-US" w:eastAsia="zh-CN"/>
        </w:rPr>
      </w:pPr>
      <w:r>
        <w:rPr>
          <w:rFonts w:hint="eastAsia" w:ascii="黑体" w:hAnsi="黑体" w:eastAsia="黑体" w:cs="黑体"/>
          <w:kern w:val="32"/>
          <w:sz w:val="28"/>
          <w:szCs w:val="28"/>
          <w:lang w:val="en-US" w:eastAsia="zh-CN"/>
        </w:rPr>
        <w:t>附件2</w:t>
      </w:r>
    </w:p>
    <w:p w14:paraId="2D9522A2">
      <w:pPr>
        <w:spacing w:line="460" w:lineRule="exact"/>
        <w:ind w:left="0" w:leftChars="0" w:firstLine="0" w:firstLineChars="0"/>
        <w:jc w:val="center"/>
        <w:rPr>
          <w:rFonts w:hint="eastAsia" w:ascii="宋体" w:hAnsi="宋体"/>
          <w:b/>
          <w:sz w:val="28"/>
          <w:szCs w:val="28"/>
        </w:rPr>
      </w:pPr>
      <w:r>
        <w:rPr>
          <w:rFonts w:hint="eastAsia" w:ascii="宋体" w:hAnsi="宋体"/>
          <w:b/>
          <w:sz w:val="28"/>
          <w:szCs w:val="28"/>
        </w:rPr>
        <w:t>评</w:t>
      </w:r>
      <w:r>
        <w:rPr>
          <w:rFonts w:hint="eastAsia" w:ascii="宋体" w:hAnsi="宋体"/>
          <w:b/>
          <w:sz w:val="28"/>
          <w:szCs w:val="28"/>
          <w:lang w:val="en-US" w:eastAsia="zh-CN"/>
        </w:rPr>
        <w:t>分</w:t>
      </w:r>
      <w:r>
        <w:rPr>
          <w:rFonts w:hint="eastAsia" w:ascii="宋体" w:hAnsi="宋体"/>
          <w:b/>
          <w:sz w:val="28"/>
          <w:szCs w:val="28"/>
        </w:rPr>
        <w:t>方法</w:t>
      </w:r>
    </w:p>
    <w:p w14:paraId="4989DE50">
      <w:pPr>
        <w:spacing w:line="460" w:lineRule="exact"/>
        <w:ind w:firstLine="480" w:firstLineChars="200"/>
        <w:rPr>
          <w:rFonts w:hint="eastAsia" w:ascii="宋体" w:hAnsi="宋体"/>
          <w:sz w:val="24"/>
        </w:rPr>
      </w:pPr>
    </w:p>
    <w:p w14:paraId="4E37E9A3">
      <w:pPr>
        <w:spacing w:line="46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本次采购采用</w:t>
      </w:r>
      <w:r>
        <w:rPr>
          <w:rFonts w:hint="eastAsia" w:ascii="仿宋_GB2312" w:hAnsi="仿宋_GB2312" w:eastAsia="仿宋_GB2312" w:cs="仿宋_GB2312"/>
          <w:sz w:val="24"/>
          <w:szCs w:val="24"/>
        </w:rPr>
        <w:t>综合评分法：报价分60分，技术性能（方案）评分20分，商务及售后服务20分，合计满分100分。</w:t>
      </w:r>
    </w:p>
    <w:p w14:paraId="4726B936">
      <w:pPr>
        <w:spacing w:line="460" w:lineRule="exact"/>
        <w:ind w:firstLine="480" w:firstLineChars="200"/>
        <w:rPr>
          <w:rFonts w:hint="eastAsia" w:ascii="仿宋_GB2312" w:hAnsi="仿宋_GB2312" w:eastAsia="仿宋_GB2312" w:cs="仿宋_GB2312"/>
          <w:b/>
          <w:bCs/>
          <w:sz w:val="24"/>
          <w:szCs w:val="24"/>
        </w:rPr>
      </w:pPr>
      <w:r>
        <w:rPr>
          <w:rFonts w:hint="eastAsia" w:ascii="仿宋_GB2312" w:hAnsi="仿宋_GB2312" w:eastAsia="仿宋_GB2312" w:cs="仿宋_GB2312"/>
          <w:sz w:val="24"/>
          <w:szCs w:val="24"/>
          <w:lang w:val="en-US" w:eastAsia="zh-CN"/>
        </w:rPr>
        <w:t>一、</w:t>
      </w:r>
      <w:r>
        <w:rPr>
          <w:rFonts w:hint="eastAsia" w:ascii="仿宋_GB2312" w:hAnsi="仿宋_GB2312" w:eastAsia="仿宋_GB2312" w:cs="仿宋_GB2312"/>
          <w:b/>
          <w:bCs/>
          <w:sz w:val="24"/>
          <w:szCs w:val="24"/>
        </w:rPr>
        <w:t>投标报价评分</w:t>
      </w:r>
    </w:p>
    <w:p w14:paraId="1B3D531B">
      <w:pPr>
        <w:spacing w:line="460" w:lineRule="exact"/>
        <w:ind w:firstLine="439" w:firstLineChars="183"/>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资质审查合格、技术参数完全满足招标文件要求且投标报价中最低投标报价为评标基准价，其价格分为满分；其他投标人的价格分统一按照以下公式计算：</w:t>
      </w:r>
    </w:p>
    <w:p w14:paraId="037DA576">
      <w:pPr>
        <w:spacing w:line="460" w:lineRule="exact"/>
        <w:ind w:firstLine="439" w:firstLineChars="183"/>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投标报价得分=（评标基准价/投标报价）×价格权值×100：</w:t>
      </w:r>
    </w:p>
    <w:p w14:paraId="398216A9">
      <w:pPr>
        <w:spacing w:line="46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二、</w:t>
      </w:r>
      <w:r>
        <w:rPr>
          <w:rFonts w:hint="eastAsia" w:ascii="仿宋_GB2312" w:hAnsi="仿宋_GB2312" w:eastAsia="仿宋_GB2312" w:cs="仿宋_GB2312"/>
          <w:sz w:val="24"/>
          <w:szCs w:val="24"/>
        </w:rPr>
        <w:t xml:space="preserve">技术性能（方案）评分 </w:t>
      </w:r>
    </w:p>
    <w:tbl>
      <w:tblPr>
        <w:tblStyle w:val="4"/>
        <w:tblW w:w="8670" w:type="dxa"/>
        <w:tblInd w:w="161" w:type="dxa"/>
        <w:tblLayout w:type="fixed"/>
        <w:tblCellMar>
          <w:top w:w="0" w:type="dxa"/>
          <w:left w:w="108" w:type="dxa"/>
          <w:bottom w:w="0" w:type="dxa"/>
          <w:right w:w="108" w:type="dxa"/>
        </w:tblCellMar>
      </w:tblPr>
      <w:tblGrid>
        <w:gridCol w:w="855"/>
        <w:gridCol w:w="1650"/>
        <w:gridCol w:w="1005"/>
        <w:gridCol w:w="5160"/>
      </w:tblGrid>
      <w:tr w14:paraId="771CBBD0">
        <w:tblPrEx>
          <w:tblCellMar>
            <w:top w:w="0" w:type="dxa"/>
            <w:left w:w="108" w:type="dxa"/>
            <w:bottom w:w="0" w:type="dxa"/>
            <w:right w:w="108" w:type="dxa"/>
          </w:tblCellMar>
        </w:tblPrEx>
        <w:trPr>
          <w:cantSplit/>
          <w:trHeight w:val="662"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14:paraId="5BA62349">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序号</w:t>
            </w:r>
          </w:p>
        </w:tc>
        <w:tc>
          <w:tcPr>
            <w:tcW w:w="1650" w:type="dxa"/>
            <w:tcBorders>
              <w:top w:val="single" w:color="auto" w:sz="4" w:space="0"/>
              <w:left w:val="nil"/>
              <w:bottom w:val="single" w:color="auto" w:sz="4" w:space="0"/>
              <w:right w:val="nil"/>
            </w:tcBorders>
            <w:noWrap w:val="0"/>
            <w:vAlign w:val="center"/>
          </w:tcPr>
          <w:p w14:paraId="6ECE8278">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评标内容</w:t>
            </w:r>
          </w:p>
        </w:tc>
        <w:tc>
          <w:tcPr>
            <w:tcW w:w="1005" w:type="dxa"/>
            <w:tcBorders>
              <w:top w:val="single" w:color="auto" w:sz="4" w:space="0"/>
              <w:left w:val="single" w:color="auto" w:sz="4" w:space="0"/>
              <w:bottom w:val="single" w:color="auto" w:sz="4" w:space="0"/>
              <w:right w:val="single" w:color="auto" w:sz="4" w:space="0"/>
            </w:tcBorders>
            <w:noWrap w:val="0"/>
            <w:vAlign w:val="center"/>
          </w:tcPr>
          <w:p w14:paraId="2BED2BE2">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最高分</w:t>
            </w:r>
          </w:p>
        </w:tc>
        <w:tc>
          <w:tcPr>
            <w:tcW w:w="5160" w:type="dxa"/>
            <w:tcBorders>
              <w:top w:val="single" w:color="auto" w:sz="4" w:space="0"/>
              <w:left w:val="nil"/>
              <w:bottom w:val="single" w:color="auto" w:sz="4" w:space="0"/>
              <w:right w:val="single" w:color="auto" w:sz="4" w:space="0"/>
            </w:tcBorders>
            <w:noWrap w:val="0"/>
            <w:vAlign w:val="center"/>
          </w:tcPr>
          <w:p w14:paraId="0B3559FF">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评 分 原 则 与 标 准</w:t>
            </w:r>
          </w:p>
        </w:tc>
      </w:tr>
      <w:tr w14:paraId="6EE5086F">
        <w:tblPrEx>
          <w:tblCellMar>
            <w:top w:w="0" w:type="dxa"/>
            <w:left w:w="108" w:type="dxa"/>
            <w:bottom w:w="0" w:type="dxa"/>
            <w:right w:w="108" w:type="dxa"/>
          </w:tblCellMar>
        </w:tblPrEx>
        <w:trPr>
          <w:cantSplit/>
          <w:trHeight w:val="1067" w:hRule="atLeast"/>
        </w:trPr>
        <w:tc>
          <w:tcPr>
            <w:tcW w:w="855" w:type="dxa"/>
            <w:tcBorders>
              <w:top w:val="nil"/>
              <w:left w:val="single" w:color="auto" w:sz="4" w:space="0"/>
              <w:bottom w:val="single" w:color="auto" w:sz="4" w:space="0"/>
              <w:right w:val="single" w:color="auto" w:sz="4" w:space="0"/>
            </w:tcBorders>
            <w:noWrap w:val="0"/>
            <w:vAlign w:val="center"/>
          </w:tcPr>
          <w:p w14:paraId="68C45825">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w:t>
            </w:r>
          </w:p>
        </w:tc>
        <w:tc>
          <w:tcPr>
            <w:tcW w:w="1650" w:type="dxa"/>
            <w:tcBorders>
              <w:top w:val="nil"/>
              <w:left w:val="nil"/>
              <w:bottom w:val="single" w:color="auto" w:sz="4" w:space="0"/>
              <w:right w:val="nil"/>
            </w:tcBorders>
            <w:noWrap w:val="0"/>
            <w:vAlign w:val="center"/>
          </w:tcPr>
          <w:p w14:paraId="409F5FA4">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人员组织和设备安排</w:t>
            </w:r>
          </w:p>
        </w:tc>
        <w:tc>
          <w:tcPr>
            <w:tcW w:w="1005" w:type="dxa"/>
            <w:tcBorders>
              <w:top w:val="nil"/>
              <w:left w:val="single" w:color="auto" w:sz="4" w:space="0"/>
              <w:bottom w:val="single" w:color="auto" w:sz="4" w:space="0"/>
              <w:right w:val="single" w:color="auto" w:sz="4" w:space="0"/>
            </w:tcBorders>
            <w:noWrap w:val="0"/>
            <w:vAlign w:val="center"/>
          </w:tcPr>
          <w:p w14:paraId="3EBC0D0D">
            <w:pPr>
              <w:spacing w:line="3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30</w:t>
            </w:r>
          </w:p>
        </w:tc>
        <w:tc>
          <w:tcPr>
            <w:tcW w:w="5160" w:type="dxa"/>
            <w:tcBorders>
              <w:top w:val="nil"/>
              <w:left w:val="nil"/>
              <w:bottom w:val="single" w:color="auto" w:sz="4" w:space="0"/>
              <w:right w:val="single" w:color="auto" w:sz="4" w:space="0"/>
            </w:tcBorders>
            <w:noWrap w:val="0"/>
            <w:vAlign w:val="center"/>
          </w:tcPr>
          <w:p w14:paraId="07D1C27B">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根据投标文件提出的人员组织和设备、资金安排是否符合实际需要相互比较后酌情计分，按优26-30分，良21-25分，一般10-20分。</w:t>
            </w:r>
          </w:p>
        </w:tc>
      </w:tr>
      <w:tr w14:paraId="7D3EE31A">
        <w:tblPrEx>
          <w:tblCellMar>
            <w:top w:w="0" w:type="dxa"/>
            <w:left w:w="108" w:type="dxa"/>
            <w:bottom w:w="0" w:type="dxa"/>
            <w:right w:w="108" w:type="dxa"/>
          </w:tblCellMar>
        </w:tblPrEx>
        <w:trPr>
          <w:cantSplit/>
          <w:trHeight w:val="1417" w:hRule="atLeast"/>
        </w:trPr>
        <w:tc>
          <w:tcPr>
            <w:tcW w:w="855" w:type="dxa"/>
            <w:tcBorders>
              <w:top w:val="nil"/>
              <w:left w:val="single" w:color="auto" w:sz="4" w:space="0"/>
              <w:bottom w:val="single" w:color="auto" w:sz="4" w:space="0"/>
              <w:right w:val="single" w:color="auto" w:sz="4" w:space="0"/>
            </w:tcBorders>
            <w:noWrap w:val="0"/>
            <w:vAlign w:val="center"/>
          </w:tcPr>
          <w:p w14:paraId="03BF28D1">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w:t>
            </w:r>
          </w:p>
        </w:tc>
        <w:tc>
          <w:tcPr>
            <w:tcW w:w="1650" w:type="dxa"/>
            <w:tcBorders>
              <w:top w:val="nil"/>
              <w:left w:val="nil"/>
              <w:bottom w:val="single" w:color="auto" w:sz="4" w:space="0"/>
              <w:right w:val="nil"/>
            </w:tcBorders>
            <w:noWrap w:val="0"/>
            <w:vAlign w:val="center"/>
          </w:tcPr>
          <w:p w14:paraId="573678C2">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安全防范方案</w:t>
            </w:r>
          </w:p>
        </w:tc>
        <w:tc>
          <w:tcPr>
            <w:tcW w:w="1005" w:type="dxa"/>
            <w:tcBorders>
              <w:top w:val="nil"/>
              <w:left w:val="single" w:color="auto" w:sz="4" w:space="0"/>
              <w:bottom w:val="single" w:color="auto" w:sz="4" w:space="0"/>
              <w:right w:val="single" w:color="auto" w:sz="4" w:space="0"/>
            </w:tcBorders>
            <w:noWrap w:val="0"/>
            <w:vAlign w:val="center"/>
          </w:tcPr>
          <w:p w14:paraId="5B416414">
            <w:pPr>
              <w:spacing w:line="3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30</w:t>
            </w:r>
          </w:p>
        </w:tc>
        <w:tc>
          <w:tcPr>
            <w:tcW w:w="5160" w:type="dxa"/>
            <w:tcBorders>
              <w:top w:val="nil"/>
              <w:left w:val="nil"/>
              <w:bottom w:val="single" w:color="auto" w:sz="4" w:space="0"/>
              <w:right w:val="single" w:color="auto" w:sz="4" w:space="0"/>
            </w:tcBorders>
            <w:noWrap w:val="0"/>
            <w:vAlign w:val="center"/>
          </w:tcPr>
          <w:p w14:paraId="7E49A9FE">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根据投标人对本项目实际情况做出的技术方案，从先进性、完整性、合理性、可操作性等方面综合比较后酌情计分，按优26-30分，良好21-25分，一般的计10-20分</w:t>
            </w:r>
          </w:p>
        </w:tc>
      </w:tr>
      <w:tr w14:paraId="30B303A6">
        <w:tblPrEx>
          <w:tblCellMar>
            <w:top w:w="0" w:type="dxa"/>
            <w:left w:w="108" w:type="dxa"/>
            <w:bottom w:w="0" w:type="dxa"/>
            <w:right w:w="108" w:type="dxa"/>
          </w:tblCellMar>
        </w:tblPrEx>
        <w:trPr>
          <w:cantSplit/>
          <w:trHeight w:val="1135" w:hRule="atLeast"/>
        </w:trPr>
        <w:tc>
          <w:tcPr>
            <w:tcW w:w="855" w:type="dxa"/>
            <w:tcBorders>
              <w:top w:val="nil"/>
              <w:left w:val="single" w:color="auto" w:sz="4" w:space="0"/>
              <w:bottom w:val="single" w:color="auto" w:sz="4" w:space="0"/>
              <w:right w:val="single" w:color="auto" w:sz="4" w:space="0"/>
            </w:tcBorders>
            <w:noWrap w:val="0"/>
            <w:vAlign w:val="center"/>
          </w:tcPr>
          <w:p w14:paraId="73C200A0">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w:t>
            </w:r>
          </w:p>
        </w:tc>
        <w:tc>
          <w:tcPr>
            <w:tcW w:w="1650" w:type="dxa"/>
            <w:tcBorders>
              <w:top w:val="nil"/>
              <w:left w:val="nil"/>
              <w:bottom w:val="single" w:color="auto" w:sz="4" w:space="0"/>
              <w:right w:val="nil"/>
            </w:tcBorders>
            <w:noWrap w:val="0"/>
            <w:vAlign w:val="center"/>
          </w:tcPr>
          <w:p w14:paraId="710C12FD">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突发事件应急措施</w:t>
            </w:r>
          </w:p>
        </w:tc>
        <w:tc>
          <w:tcPr>
            <w:tcW w:w="1005" w:type="dxa"/>
            <w:tcBorders>
              <w:top w:val="nil"/>
              <w:left w:val="single" w:color="auto" w:sz="4" w:space="0"/>
              <w:bottom w:val="single" w:color="auto" w:sz="4" w:space="0"/>
              <w:right w:val="single" w:color="auto" w:sz="4" w:space="0"/>
            </w:tcBorders>
            <w:noWrap w:val="0"/>
            <w:vAlign w:val="center"/>
          </w:tcPr>
          <w:p w14:paraId="7CB23634">
            <w:pPr>
              <w:spacing w:line="3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20</w:t>
            </w:r>
          </w:p>
        </w:tc>
        <w:tc>
          <w:tcPr>
            <w:tcW w:w="5160" w:type="dxa"/>
            <w:tcBorders>
              <w:top w:val="nil"/>
              <w:left w:val="nil"/>
              <w:bottom w:val="single" w:color="auto" w:sz="4" w:space="0"/>
              <w:right w:val="single" w:color="auto" w:sz="4" w:space="0"/>
            </w:tcBorders>
            <w:noWrap w:val="0"/>
            <w:vAlign w:val="center"/>
          </w:tcPr>
          <w:p w14:paraId="0E8EBC1F">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根据实施方案描述的突发医疗事件应急措施和其它活动配合措施的完善性、可行性相互比较后酌情计分，按优16-20分，良11-20分，一般6-10分。</w:t>
            </w:r>
          </w:p>
        </w:tc>
      </w:tr>
      <w:tr w14:paraId="68CC94F7">
        <w:tblPrEx>
          <w:tblCellMar>
            <w:top w:w="0" w:type="dxa"/>
            <w:left w:w="108" w:type="dxa"/>
            <w:bottom w:w="0" w:type="dxa"/>
            <w:right w:w="108" w:type="dxa"/>
          </w:tblCellMar>
        </w:tblPrEx>
        <w:trPr>
          <w:cantSplit/>
          <w:trHeight w:val="1135" w:hRule="atLeast"/>
        </w:trPr>
        <w:tc>
          <w:tcPr>
            <w:tcW w:w="855" w:type="dxa"/>
            <w:tcBorders>
              <w:top w:val="nil"/>
              <w:left w:val="single" w:color="auto" w:sz="4" w:space="0"/>
              <w:bottom w:val="single" w:color="auto" w:sz="4" w:space="0"/>
              <w:right w:val="single" w:color="auto" w:sz="4" w:space="0"/>
            </w:tcBorders>
            <w:noWrap w:val="0"/>
            <w:vAlign w:val="center"/>
          </w:tcPr>
          <w:p w14:paraId="4E1AF987">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w:t>
            </w:r>
          </w:p>
        </w:tc>
        <w:tc>
          <w:tcPr>
            <w:tcW w:w="1650" w:type="dxa"/>
            <w:tcBorders>
              <w:top w:val="nil"/>
              <w:left w:val="nil"/>
              <w:bottom w:val="single" w:color="auto" w:sz="4" w:space="0"/>
              <w:right w:val="nil"/>
            </w:tcBorders>
            <w:noWrap w:val="0"/>
            <w:vAlign w:val="center"/>
          </w:tcPr>
          <w:p w14:paraId="0DA3FA9F">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经营管理</w:t>
            </w:r>
          </w:p>
        </w:tc>
        <w:tc>
          <w:tcPr>
            <w:tcW w:w="1005" w:type="dxa"/>
            <w:tcBorders>
              <w:top w:val="nil"/>
              <w:left w:val="single" w:color="auto" w:sz="4" w:space="0"/>
              <w:bottom w:val="single" w:color="auto" w:sz="4" w:space="0"/>
              <w:right w:val="single" w:color="auto" w:sz="4" w:space="0"/>
            </w:tcBorders>
            <w:noWrap w:val="0"/>
            <w:vAlign w:val="center"/>
          </w:tcPr>
          <w:p w14:paraId="21EFB331">
            <w:pPr>
              <w:spacing w:line="300" w:lineRule="exact"/>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20</w:t>
            </w:r>
          </w:p>
        </w:tc>
        <w:tc>
          <w:tcPr>
            <w:tcW w:w="5160" w:type="dxa"/>
            <w:tcBorders>
              <w:top w:val="nil"/>
              <w:left w:val="nil"/>
              <w:bottom w:val="single" w:color="auto" w:sz="4" w:space="0"/>
              <w:right w:val="single" w:color="auto" w:sz="4" w:space="0"/>
            </w:tcBorders>
            <w:noWrap w:val="0"/>
            <w:vAlign w:val="center"/>
          </w:tcPr>
          <w:p w14:paraId="18672E91">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从投标文件中提出的经营管理制度详实性、完整性（包含项目管理架构、主要人员职责、巡查、日常管理制度等），综合对比计分：优16-20分，良好11-15分，一般6-10分。</w:t>
            </w:r>
          </w:p>
        </w:tc>
      </w:tr>
    </w:tbl>
    <w:p w14:paraId="783D0E9A">
      <w:pPr>
        <w:spacing w:line="460" w:lineRule="exact"/>
        <w:outlineLvl w:val="0"/>
        <w:rPr>
          <w:rFonts w:hint="eastAsia" w:ascii="仿宋_GB2312" w:hAnsi="仿宋_GB2312" w:eastAsia="仿宋_GB2312" w:cs="仿宋_GB2312"/>
          <w:b/>
          <w:bCs/>
          <w:sz w:val="24"/>
          <w:szCs w:val="24"/>
        </w:rPr>
      </w:pPr>
    </w:p>
    <w:p w14:paraId="0C62C285">
      <w:pPr>
        <w:spacing w:line="46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三、商务及售后服务</w:t>
      </w:r>
    </w:p>
    <w:tbl>
      <w:tblPr>
        <w:tblStyle w:val="4"/>
        <w:tblW w:w="8685" w:type="dxa"/>
        <w:tblInd w:w="161" w:type="dxa"/>
        <w:tblLayout w:type="fixed"/>
        <w:tblCellMar>
          <w:top w:w="0" w:type="dxa"/>
          <w:left w:w="108" w:type="dxa"/>
          <w:bottom w:w="0" w:type="dxa"/>
          <w:right w:w="108" w:type="dxa"/>
        </w:tblCellMar>
      </w:tblPr>
      <w:tblGrid>
        <w:gridCol w:w="855"/>
        <w:gridCol w:w="1635"/>
        <w:gridCol w:w="1020"/>
        <w:gridCol w:w="5175"/>
      </w:tblGrid>
      <w:tr w14:paraId="3353DD46">
        <w:tblPrEx>
          <w:tblCellMar>
            <w:top w:w="0" w:type="dxa"/>
            <w:left w:w="108" w:type="dxa"/>
            <w:bottom w:w="0" w:type="dxa"/>
            <w:right w:w="108" w:type="dxa"/>
          </w:tblCellMar>
        </w:tblPrEx>
        <w:trPr>
          <w:cantSplit/>
          <w:trHeight w:val="616"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14:paraId="3A02500F">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序号</w:t>
            </w:r>
          </w:p>
        </w:tc>
        <w:tc>
          <w:tcPr>
            <w:tcW w:w="1635" w:type="dxa"/>
            <w:tcBorders>
              <w:top w:val="single" w:color="auto" w:sz="4" w:space="0"/>
              <w:left w:val="nil"/>
              <w:bottom w:val="single" w:color="auto" w:sz="4" w:space="0"/>
              <w:right w:val="single" w:color="auto" w:sz="4" w:space="0"/>
            </w:tcBorders>
            <w:noWrap w:val="0"/>
            <w:vAlign w:val="center"/>
          </w:tcPr>
          <w:p w14:paraId="391171C4">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评标内容</w:t>
            </w:r>
          </w:p>
        </w:tc>
        <w:tc>
          <w:tcPr>
            <w:tcW w:w="1020" w:type="dxa"/>
            <w:tcBorders>
              <w:top w:val="single" w:color="auto" w:sz="4" w:space="0"/>
              <w:left w:val="nil"/>
              <w:bottom w:val="single" w:color="auto" w:sz="4" w:space="0"/>
              <w:right w:val="single" w:color="auto" w:sz="4" w:space="0"/>
            </w:tcBorders>
            <w:noWrap w:val="0"/>
            <w:vAlign w:val="center"/>
          </w:tcPr>
          <w:p w14:paraId="59B8E9C0">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最高分</w:t>
            </w:r>
          </w:p>
        </w:tc>
        <w:tc>
          <w:tcPr>
            <w:tcW w:w="5175" w:type="dxa"/>
            <w:tcBorders>
              <w:top w:val="single" w:color="auto" w:sz="4" w:space="0"/>
              <w:left w:val="nil"/>
              <w:bottom w:val="single" w:color="auto" w:sz="4" w:space="0"/>
              <w:right w:val="single" w:color="auto" w:sz="4" w:space="0"/>
            </w:tcBorders>
            <w:noWrap w:val="0"/>
            <w:vAlign w:val="center"/>
          </w:tcPr>
          <w:p w14:paraId="722BCD9E">
            <w:pPr>
              <w:spacing w:line="300" w:lineRule="exact"/>
              <w:ind w:firstLine="840" w:firstLineChars="35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评 分 原 则 与 标 准</w:t>
            </w:r>
          </w:p>
        </w:tc>
      </w:tr>
      <w:tr w14:paraId="40A0C0CC">
        <w:tblPrEx>
          <w:tblCellMar>
            <w:top w:w="0" w:type="dxa"/>
            <w:left w:w="108" w:type="dxa"/>
            <w:bottom w:w="0" w:type="dxa"/>
            <w:right w:w="108" w:type="dxa"/>
          </w:tblCellMar>
        </w:tblPrEx>
        <w:trPr>
          <w:cantSplit/>
          <w:trHeight w:val="818"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14:paraId="0CCDDB3A">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1635" w:type="dxa"/>
            <w:tcBorders>
              <w:top w:val="single" w:color="auto" w:sz="4" w:space="0"/>
              <w:left w:val="nil"/>
              <w:bottom w:val="single" w:color="auto" w:sz="4" w:space="0"/>
              <w:right w:val="single" w:color="auto" w:sz="4" w:space="0"/>
            </w:tcBorders>
            <w:noWrap w:val="0"/>
            <w:vAlign w:val="center"/>
          </w:tcPr>
          <w:p w14:paraId="038C6A83">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标书响应程度</w:t>
            </w:r>
          </w:p>
        </w:tc>
        <w:tc>
          <w:tcPr>
            <w:tcW w:w="1020" w:type="dxa"/>
            <w:tcBorders>
              <w:top w:val="single" w:color="auto" w:sz="4" w:space="0"/>
              <w:left w:val="nil"/>
              <w:bottom w:val="single" w:color="auto" w:sz="4" w:space="0"/>
              <w:right w:val="single" w:color="auto" w:sz="4" w:space="0"/>
            </w:tcBorders>
            <w:noWrap w:val="0"/>
            <w:vAlign w:val="center"/>
          </w:tcPr>
          <w:p w14:paraId="6B80A41F">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w:t>
            </w:r>
          </w:p>
        </w:tc>
        <w:tc>
          <w:tcPr>
            <w:tcW w:w="5175" w:type="dxa"/>
            <w:tcBorders>
              <w:top w:val="single" w:color="auto" w:sz="4" w:space="0"/>
              <w:left w:val="nil"/>
              <w:bottom w:val="single" w:color="auto" w:sz="4" w:space="0"/>
              <w:right w:val="single" w:color="auto" w:sz="4" w:space="0"/>
            </w:tcBorders>
            <w:noWrap w:val="0"/>
            <w:vAlign w:val="center"/>
          </w:tcPr>
          <w:p w14:paraId="0B537C99">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按投标书完整性、满足度酌情计分，按优9-10分、良7-8分，一般5-6分</w:t>
            </w:r>
          </w:p>
        </w:tc>
      </w:tr>
      <w:tr w14:paraId="65E900AC">
        <w:tblPrEx>
          <w:tblCellMar>
            <w:top w:w="0" w:type="dxa"/>
            <w:left w:w="108" w:type="dxa"/>
            <w:bottom w:w="0" w:type="dxa"/>
            <w:right w:w="108" w:type="dxa"/>
          </w:tblCellMar>
        </w:tblPrEx>
        <w:trPr>
          <w:cantSplit/>
          <w:trHeight w:val="450"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14:paraId="4697CFE5">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1635" w:type="dxa"/>
            <w:tcBorders>
              <w:top w:val="single" w:color="auto" w:sz="4" w:space="0"/>
              <w:left w:val="nil"/>
              <w:bottom w:val="single" w:color="auto" w:sz="4" w:space="0"/>
              <w:right w:val="single" w:color="auto" w:sz="4" w:space="0"/>
            </w:tcBorders>
            <w:noWrap w:val="0"/>
            <w:vAlign w:val="top"/>
          </w:tcPr>
          <w:p w14:paraId="50E2BA0A">
            <w:pPr>
              <w:spacing w:line="300" w:lineRule="exact"/>
              <w:rPr>
                <w:rFonts w:hint="eastAsia" w:ascii="仿宋_GB2312" w:hAnsi="仿宋_GB2312" w:eastAsia="仿宋_GB2312" w:cs="仿宋_GB2312"/>
                <w:sz w:val="24"/>
                <w:szCs w:val="24"/>
              </w:rPr>
            </w:pPr>
          </w:p>
          <w:p w14:paraId="6492558F">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企业形象、信誉及奖状</w:t>
            </w:r>
          </w:p>
        </w:tc>
        <w:tc>
          <w:tcPr>
            <w:tcW w:w="1020" w:type="dxa"/>
            <w:tcBorders>
              <w:top w:val="single" w:color="auto" w:sz="4" w:space="0"/>
              <w:left w:val="nil"/>
              <w:bottom w:val="single" w:color="auto" w:sz="4" w:space="0"/>
              <w:right w:val="single" w:color="auto" w:sz="4" w:space="0"/>
            </w:tcBorders>
            <w:noWrap w:val="0"/>
            <w:vAlign w:val="center"/>
          </w:tcPr>
          <w:p w14:paraId="5BEE15D9">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30</w:t>
            </w:r>
          </w:p>
        </w:tc>
        <w:tc>
          <w:tcPr>
            <w:tcW w:w="5175" w:type="dxa"/>
            <w:tcBorders>
              <w:top w:val="single" w:color="auto" w:sz="4" w:space="0"/>
              <w:left w:val="nil"/>
              <w:bottom w:val="single" w:color="auto" w:sz="4" w:space="0"/>
              <w:right w:val="single" w:color="auto" w:sz="4" w:space="0"/>
            </w:tcBorders>
            <w:noWrap w:val="0"/>
            <w:vAlign w:val="top"/>
          </w:tcPr>
          <w:p w14:paraId="138E30B9">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根据投标人形象、信誉、市场占有率、相关部门奖励相互比较酌情计分，按优26-30分，良21-25分， 一般15-20分</w:t>
            </w:r>
          </w:p>
        </w:tc>
      </w:tr>
      <w:tr w14:paraId="5854FB02">
        <w:tblPrEx>
          <w:tblCellMar>
            <w:top w:w="0" w:type="dxa"/>
            <w:left w:w="108" w:type="dxa"/>
            <w:bottom w:w="0" w:type="dxa"/>
            <w:right w:w="108" w:type="dxa"/>
          </w:tblCellMar>
        </w:tblPrEx>
        <w:trPr>
          <w:cantSplit/>
          <w:trHeight w:val="450"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14:paraId="34B33799">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1635" w:type="dxa"/>
            <w:tcBorders>
              <w:top w:val="single" w:color="auto" w:sz="4" w:space="0"/>
              <w:left w:val="nil"/>
              <w:bottom w:val="single" w:color="auto" w:sz="4" w:space="0"/>
              <w:right w:val="single" w:color="auto" w:sz="4" w:space="0"/>
            </w:tcBorders>
            <w:noWrap w:val="0"/>
            <w:vAlign w:val="center"/>
          </w:tcPr>
          <w:p w14:paraId="7FA467B8">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企业业绩</w:t>
            </w:r>
          </w:p>
        </w:tc>
        <w:tc>
          <w:tcPr>
            <w:tcW w:w="1020" w:type="dxa"/>
            <w:tcBorders>
              <w:top w:val="single" w:color="auto" w:sz="4" w:space="0"/>
              <w:left w:val="nil"/>
              <w:bottom w:val="single" w:color="auto" w:sz="4" w:space="0"/>
              <w:right w:val="single" w:color="auto" w:sz="4" w:space="0"/>
            </w:tcBorders>
            <w:noWrap w:val="0"/>
            <w:vAlign w:val="center"/>
          </w:tcPr>
          <w:p w14:paraId="3D56B315">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0</w:t>
            </w:r>
          </w:p>
        </w:tc>
        <w:tc>
          <w:tcPr>
            <w:tcW w:w="5175" w:type="dxa"/>
            <w:tcBorders>
              <w:top w:val="single" w:color="auto" w:sz="4" w:space="0"/>
              <w:left w:val="nil"/>
              <w:bottom w:val="single" w:color="auto" w:sz="4" w:space="0"/>
              <w:right w:val="single" w:color="auto" w:sz="4" w:space="0"/>
            </w:tcBorders>
            <w:noWrap w:val="0"/>
            <w:vAlign w:val="center"/>
          </w:tcPr>
          <w:p w14:paraId="4E6CDE62">
            <w:pPr>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近三年内，投标人承包的类似项目业绩的多少相互比较酌情计分，按优26-30分，良21-25分， 一般15-20分</w:t>
            </w:r>
          </w:p>
        </w:tc>
      </w:tr>
      <w:tr w14:paraId="3EF949BB">
        <w:tblPrEx>
          <w:tblCellMar>
            <w:top w:w="0" w:type="dxa"/>
            <w:left w:w="108" w:type="dxa"/>
            <w:bottom w:w="0" w:type="dxa"/>
            <w:right w:w="108" w:type="dxa"/>
          </w:tblCellMar>
        </w:tblPrEx>
        <w:trPr>
          <w:cantSplit/>
          <w:trHeight w:val="1100" w:hRule="atLeast"/>
        </w:trPr>
        <w:tc>
          <w:tcPr>
            <w:tcW w:w="855" w:type="dxa"/>
            <w:tcBorders>
              <w:top w:val="single" w:color="auto" w:sz="4" w:space="0"/>
              <w:left w:val="single" w:color="auto" w:sz="4" w:space="0"/>
              <w:bottom w:val="single" w:color="auto" w:sz="4" w:space="0"/>
              <w:right w:val="single" w:color="auto" w:sz="4" w:space="0"/>
            </w:tcBorders>
            <w:noWrap w:val="0"/>
            <w:vAlign w:val="center"/>
          </w:tcPr>
          <w:p w14:paraId="287C6316">
            <w:pPr>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1635" w:type="dxa"/>
            <w:tcBorders>
              <w:top w:val="single" w:color="auto" w:sz="4" w:space="0"/>
              <w:left w:val="nil"/>
              <w:bottom w:val="single" w:color="auto" w:sz="4" w:space="0"/>
              <w:right w:val="single" w:color="auto" w:sz="4" w:space="0"/>
            </w:tcBorders>
            <w:noWrap w:val="0"/>
            <w:vAlign w:val="center"/>
          </w:tcPr>
          <w:p w14:paraId="14934597">
            <w:pPr>
              <w:spacing w:line="300" w:lineRule="exact"/>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rPr>
              <w:t>售后服务承诺等</w:t>
            </w:r>
          </w:p>
        </w:tc>
        <w:tc>
          <w:tcPr>
            <w:tcW w:w="1020" w:type="dxa"/>
            <w:tcBorders>
              <w:top w:val="single" w:color="auto" w:sz="4" w:space="0"/>
              <w:left w:val="nil"/>
              <w:bottom w:val="single" w:color="auto" w:sz="4" w:space="0"/>
              <w:right w:val="single" w:color="auto" w:sz="4" w:space="0"/>
            </w:tcBorders>
            <w:noWrap w:val="0"/>
            <w:vAlign w:val="center"/>
          </w:tcPr>
          <w:p w14:paraId="68261DA1">
            <w:pPr>
              <w:spacing w:line="300" w:lineRule="exact"/>
              <w:jc w:val="center"/>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0</w:t>
            </w:r>
          </w:p>
        </w:tc>
        <w:tc>
          <w:tcPr>
            <w:tcW w:w="5175" w:type="dxa"/>
            <w:tcBorders>
              <w:top w:val="single" w:color="auto" w:sz="4" w:space="0"/>
              <w:left w:val="nil"/>
              <w:bottom w:val="single" w:color="auto" w:sz="4" w:space="0"/>
              <w:right w:val="single" w:color="auto" w:sz="4" w:space="0"/>
            </w:tcBorders>
            <w:noWrap w:val="0"/>
            <w:vAlign w:val="center"/>
          </w:tcPr>
          <w:p w14:paraId="402FBEF4">
            <w:pPr>
              <w:spacing w:line="300" w:lineRule="exact"/>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rPr>
              <w:t>临时性保安人员响应条件及承诺。</w:t>
            </w:r>
          </w:p>
        </w:tc>
      </w:tr>
    </w:tbl>
    <w:p w14:paraId="0D42F823">
      <w:pPr>
        <w:spacing w:line="520" w:lineRule="exact"/>
        <w:ind w:left="0" w:leftChars="0" w:firstLine="0" w:firstLineChars="0"/>
        <w:jc w:val="left"/>
        <w:rPr>
          <w:rFonts w:hint="eastAsia" w:ascii="仿宋_GB2312" w:hAnsi="仿宋_GB2312" w:eastAsia="仿宋_GB2312" w:cs="仿宋_GB2312"/>
          <w:kern w:val="32"/>
          <w:sz w:val="24"/>
          <w:szCs w:val="24"/>
          <w:lang w:val="en-US" w:eastAsia="zh-CN"/>
        </w:rPr>
      </w:pPr>
    </w:p>
    <w:p w14:paraId="0D36EE71">
      <w:bookmarkStart w:id="0" w:name="_GoBack"/>
      <w:bookmarkEnd w:id="0"/>
    </w:p>
    <w:sectPr>
      <w:headerReference r:id="rId3" w:type="default"/>
      <w:footerReference r:id="rId4" w:type="default"/>
      <w:pgSz w:w="11906" w:h="16838"/>
      <w:pgMar w:top="1860" w:right="1588" w:bottom="1958" w:left="1588" w:header="851" w:footer="992" w:gutter="0"/>
      <w:pgNumType w:chapStyle="1" w:chapSep="colon"/>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094E1">
    <w:pPr>
      <w:pStyle w:val="2"/>
      <w:ind w:firstLine="4770" w:firstLineChars="2650"/>
      <w:rPr>
        <w:rFonts w:hint="eastAsia"/>
        <w:i/>
      </w:rPr>
    </w:pPr>
    <w:r>
      <w:rPr>
        <w:rFonts w:hint="eastAsia"/>
        <w:i/>
      </w:rPr>
      <w:t>共</w:t>
    </w:r>
    <w:r>
      <w:rPr>
        <w:rStyle w:val="6"/>
        <w:i/>
      </w:rPr>
      <w:fldChar w:fldCharType="begin"/>
    </w:r>
    <w:r>
      <w:rPr>
        <w:rStyle w:val="6"/>
        <w:i/>
      </w:rPr>
      <w:instrText xml:space="preserve"> NUMPAGES </w:instrText>
    </w:r>
    <w:r>
      <w:rPr>
        <w:rStyle w:val="6"/>
        <w:i/>
      </w:rPr>
      <w:fldChar w:fldCharType="separate"/>
    </w:r>
    <w:r>
      <w:rPr>
        <w:rStyle w:val="6"/>
        <w:i/>
      </w:rPr>
      <w:t>1</w:t>
    </w:r>
    <w:r>
      <w:rPr>
        <w:rStyle w:val="6"/>
        <w:i/>
      </w:rPr>
      <w:fldChar w:fldCharType="end"/>
    </w:r>
    <w:r>
      <w:rPr>
        <w:rStyle w:val="6"/>
        <w:rFonts w:hint="eastAsia"/>
        <w:i/>
      </w:rPr>
      <w:t>页，第</w:t>
    </w:r>
    <w:r>
      <w:rPr>
        <w:rStyle w:val="6"/>
        <w:i/>
      </w:rPr>
      <w:fldChar w:fldCharType="begin"/>
    </w:r>
    <w:r>
      <w:rPr>
        <w:rStyle w:val="6"/>
        <w:i/>
      </w:rPr>
      <w:instrText xml:space="preserve"> PAGE </w:instrText>
    </w:r>
    <w:r>
      <w:rPr>
        <w:rStyle w:val="6"/>
        <w:i/>
      </w:rPr>
      <w:fldChar w:fldCharType="separate"/>
    </w:r>
    <w:r>
      <w:rPr>
        <w:rStyle w:val="6"/>
        <w:i/>
      </w:rPr>
      <w:t>1</w:t>
    </w:r>
    <w:r>
      <w:rPr>
        <w:rStyle w:val="6"/>
        <w:i/>
      </w:rPr>
      <w:fldChar w:fldCharType="end"/>
    </w:r>
    <w:r>
      <w:rPr>
        <w:rStyle w:val="6"/>
        <w:rFonts w:hint="eastAsia"/>
        <w:i/>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038CA">
    <w:pPr>
      <w:pStyle w:val="3"/>
    </w:pPr>
    <w:r>
      <w:rPr>
        <w:sz w:val="18"/>
      </w:rPr>
      <w:pict>
        <v:shape id="PowerPlusWaterMarkObject47210" o:spid="_x0000_s2049" o:spt="136" type="#_x0000_t136" style="position:absolute;left:0pt;height:60.35pt;width:462.1pt;mso-position-horizontal:center;mso-position-horizontal-relative:margin;mso-position-vertical:center;mso-position-vertical-relative:margin;rotation:-2949120f;z-index:-251657216;mso-width-relative:page;mso-height-relative:page;" fillcolor="#C0C0C0" filled="t" stroked="f" coordsize="21600,21600" adj="10800">
          <v:path/>
          <v:fill on="t" opacity="32768f" focussize="0,0"/>
          <v:stroke on="f"/>
          <v:imagedata o:title=""/>
          <o:lock v:ext="edit" aspectratio="t"/>
          <v:textpath on="t" fitshape="t" fitpath="t" trim="t" xscale="f" string="德清申达保安外包服务" style="font-family:微软雅黑;font-size:60pt;v-same-letter-heights:f;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2847C3"/>
    <w:rsid w:val="522847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99"/>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2025-03-24T00:50:00Z</dcterms:created>
  <dc:creator>杨潇潇</dc:creator>
  <cp:lastModifiedBy>杨潇潇</cp:lastModifiedBy>
  <dcterms:modified xsi:type="dcterms:W3CDTF">2025-03-24T00:50:49Z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CDF226E8C065445C95CCB8597C152B3E_11</vt:lpwstr>
  </property>
  <property fmtid="{D5CDD505-2E9C-101B-9397-08002B2CF9AE}" pid="4" name="KSOTemplateDocerSaveRecord">
    <vt:lpwstr>eyJoZGlkIjoiOWMxYWVlNWI1MGE3NWRlNGE3YWRkMTUwMWJhNGU0NGQiLCJ1c2VySWQiOiIyNjk3OTg5MjgifQ==</vt:lpwstr>
  </property>
</Properties>
</file>